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FF" w:rsidRPr="008815BB" w:rsidRDefault="00E6042C" w:rsidP="00756AFF">
      <w:pPr>
        <w:rPr>
          <w:b/>
          <w:sz w:val="24"/>
          <w:lang w:val="en-US"/>
        </w:rPr>
      </w:pPr>
      <w:bookmarkStart w:id="0" w:name="_GoBack"/>
      <w:bookmarkEnd w:id="0"/>
      <w:r w:rsidRPr="008815BB">
        <w:rPr>
          <w:b/>
          <w:sz w:val="24"/>
          <w:lang w:val="en-US"/>
        </w:rPr>
        <w:t>C</w:t>
      </w:r>
      <w:r w:rsidR="008815BB">
        <w:rPr>
          <w:b/>
          <w:sz w:val="24"/>
          <w:lang w:val="en-US"/>
        </w:rPr>
        <w:t>o</w:t>
      </w:r>
      <w:r w:rsidRPr="008815BB">
        <w:rPr>
          <w:b/>
          <w:sz w:val="24"/>
          <w:lang w:val="en-US"/>
        </w:rPr>
        <w:t>mpariso</w:t>
      </w:r>
      <w:r w:rsidR="002A3AB1" w:rsidRPr="008815BB">
        <w:rPr>
          <w:b/>
          <w:sz w:val="24"/>
          <w:lang w:val="en-US"/>
        </w:rPr>
        <w:t>n of two</w:t>
      </w:r>
      <w:r w:rsidRPr="008815BB">
        <w:rPr>
          <w:b/>
          <w:sz w:val="24"/>
          <w:lang w:val="en-US"/>
        </w:rPr>
        <w:t xml:space="preserve"> multiplex </w:t>
      </w:r>
      <w:r w:rsidR="00756AFF" w:rsidRPr="008815BB">
        <w:rPr>
          <w:b/>
          <w:sz w:val="24"/>
          <w:lang w:val="en-US"/>
        </w:rPr>
        <w:t xml:space="preserve">arrays in the diagnosis of patients with allergy </w:t>
      </w:r>
    </w:p>
    <w:p w:rsidR="004E6E83" w:rsidRPr="008815BB" w:rsidRDefault="004E6E83" w:rsidP="00756AFF">
      <w:pPr>
        <w:rPr>
          <w:sz w:val="24"/>
          <w:lang w:val="en-US"/>
        </w:rPr>
      </w:pPr>
      <w:r w:rsidRPr="008815BB">
        <w:rPr>
          <w:sz w:val="24"/>
          <w:lang w:val="en-US"/>
        </w:rPr>
        <w:t>Jana Sirmarova</w:t>
      </w:r>
      <w:r w:rsidRPr="008815BB">
        <w:rPr>
          <w:sz w:val="24"/>
          <w:vertAlign w:val="superscript"/>
          <w:lang w:val="en-US"/>
        </w:rPr>
        <w:t>1</w:t>
      </w:r>
      <w:r w:rsidRPr="008815BB">
        <w:rPr>
          <w:sz w:val="24"/>
          <w:lang w:val="en-US"/>
        </w:rPr>
        <w:t>, Tomas Vlas</w:t>
      </w:r>
      <w:r w:rsidRPr="008815BB">
        <w:rPr>
          <w:sz w:val="24"/>
          <w:vertAlign w:val="superscript"/>
          <w:lang w:val="en-US"/>
        </w:rPr>
        <w:t>1</w:t>
      </w:r>
      <w:proofErr w:type="gramStart"/>
      <w:r w:rsidRPr="008815BB">
        <w:rPr>
          <w:sz w:val="24"/>
          <w:vertAlign w:val="superscript"/>
          <w:lang w:val="en-US"/>
        </w:rPr>
        <w:t>,2</w:t>
      </w:r>
      <w:proofErr w:type="gramEnd"/>
      <w:r w:rsidRPr="008815BB">
        <w:rPr>
          <w:sz w:val="24"/>
          <w:lang w:val="en-US"/>
        </w:rPr>
        <w:t>, Petr Panzner</w:t>
      </w:r>
      <w:r w:rsidRPr="008815BB">
        <w:rPr>
          <w:sz w:val="24"/>
          <w:vertAlign w:val="superscript"/>
          <w:lang w:val="en-US"/>
        </w:rPr>
        <w:t>1</w:t>
      </w:r>
    </w:p>
    <w:p w:rsidR="005649BA" w:rsidRPr="008815BB" w:rsidRDefault="009C4656" w:rsidP="006C75BE">
      <w:pPr>
        <w:spacing w:line="240" w:lineRule="auto"/>
        <w:rPr>
          <w:sz w:val="16"/>
          <w:lang w:val="en-US"/>
        </w:rPr>
      </w:pPr>
      <w:proofErr w:type="gramStart"/>
      <w:r w:rsidRPr="008815BB">
        <w:rPr>
          <w:sz w:val="16"/>
          <w:lang w:val="en-US"/>
        </w:rPr>
        <w:t>1</w:t>
      </w:r>
      <w:proofErr w:type="gramEnd"/>
      <w:r w:rsidRPr="008815BB">
        <w:rPr>
          <w:sz w:val="16"/>
          <w:lang w:val="en-US"/>
        </w:rPr>
        <w:t xml:space="preserve"> Department </w:t>
      </w:r>
      <w:r w:rsidR="001605B9" w:rsidRPr="008815BB">
        <w:rPr>
          <w:sz w:val="16"/>
          <w:lang w:val="en-US"/>
        </w:rPr>
        <w:t xml:space="preserve">of Immunology and </w:t>
      </w:r>
      <w:proofErr w:type="spellStart"/>
      <w:r w:rsidR="001605B9" w:rsidRPr="008815BB">
        <w:rPr>
          <w:sz w:val="16"/>
          <w:lang w:val="en-US"/>
        </w:rPr>
        <w:t>Allergology</w:t>
      </w:r>
      <w:proofErr w:type="spellEnd"/>
      <w:r w:rsidR="001605B9" w:rsidRPr="008815BB">
        <w:rPr>
          <w:sz w:val="16"/>
          <w:lang w:val="en-US"/>
        </w:rPr>
        <w:t xml:space="preserve">, Faculty of Medicine and University </w:t>
      </w:r>
      <w:r w:rsidR="00DB33D1" w:rsidRPr="008815BB">
        <w:rPr>
          <w:sz w:val="16"/>
          <w:lang w:val="en-US"/>
        </w:rPr>
        <w:t>H</w:t>
      </w:r>
      <w:r w:rsidR="001605B9" w:rsidRPr="008815BB">
        <w:rPr>
          <w:sz w:val="16"/>
          <w:lang w:val="en-US"/>
        </w:rPr>
        <w:t xml:space="preserve">ospital </w:t>
      </w:r>
      <w:r w:rsidR="00DB33D1" w:rsidRPr="008815BB">
        <w:rPr>
          <w:sz w:val="16"/>
          <w:lang w:val="en-US"/>
        </w:rPr>
        <w:t xml:space="preserve">in </w:t>
      </w:r>
      <w:r w:rsidR="001605B9" w:rsidRPr="008815BB">
        <w:rPr>
          <w:sz w:val="16"/>
          <w:lang w:val="en-US"/>
        </w:rPr>
        <w:t>Plzen</w:t>
      </w:r>
      <w:r w:rsidR="00DB33D1" w:rsidRPr="008815BB">
        <w:rPr>
          <w:sz w:val="16"/>
          <w:lang w:val="en-US"/>
        </w:rPr>
        <w:t>, Charles University in Prague, Czech Republic</w:t>
      </w:r>
    </w:p>
    <w:p w:rsidR="009C4656" w:rsidRPr="008815BB" w:rsidRDefault="009C4656" w:rsidP="006C75BE">
      <w:pPr>
        <w:spacing w:line="240" w:lineRule="auto"/>
        <w:rPr>
          <w:sz w:val="16"/>
          <w:lang w:val="en-US"/>
        </w:rPr>
      </w:pPr>
      <w:proofErr w:type="gramStart"/>
      <w:r w:rsidRPr="008815BB">
        <w:rPr>
          <w:sz w:val="16"/>
          <w:lang w:val="en-US"/>
        </w:rPr>
        <w:t>2</w:t>
      </w:r>
      <w:proofErr w:type="gramEnd"/>
      <w:r w:rsidR="00C120BE" w:rsidRPr="008815BB">
        <w:rPr>
          <w:sz w:val="16"/>
          <w:lang w:val="en-US"/>
        </w:rPr>
        <w:t xml:space="preserve"> Faculty of Health Care Studies, University of West Bohemia, Czech Republic</w:t>
      </w:r>
    </w:p>
    <w:p w:rsidR="006C75BE" w:rsidRPr="008815BB" w:rsidRDefault="006C75BE" w:rsidP="006C75BE">
      <w:pPr>
        <w:spacing w:line="240" w:lineRule="auto"/>
        <w:rPr>
          <w:sz w:val="16"/>
          <w:lang w:val="en-US"/>
        </w:rPr>
      </w:pPr>
    </w:p>
    <w:p w:rsidR="000679FF" w:rsidRPr="008815BB" w:rsidRDefault="004B4FBD" w:rsidP="00067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val="en-US" w:eastAsia="cs-CZ"/>
        </w:rPr>
      </w:pPr>
      <w:r w:rsidRPr="008815BB">
        <w:rPr>
          <w:rFonts w:eastAsia="Times New Roman" w:cstheme="minorHAnsi"/>
          <w:i/>
          <w:color w:val="000000"/>
          <w:sz w:val="24"/>
          <w:szCs w:val="18"/>
          <w:lang w:val="en-US" w:eastAsia="cs-CZ"/>
        </w:rPr>
        <w:t>Background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: </w:t>
      </w:r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Diagnosis of type I allergy is based on the </w:t>
      </w:r>
      <w:r w:rsidR="002A3AB1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medical history</w:t>
      </w:r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, provocation testing and in vitro diagnostic tests. Currently, molecular allergy diagnostics are using in clinical routine</w:t>
      </w:r>
      <w:r w:rsidR="002A3AB1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,</w:t>
      </w:r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</w:t>
      </w:r>
      <w:r w:rsidR="000679FF" w:rsidRPr="008815BB">
        <w:rPr>
          <w:rFonts w:eastAsia="Times New Roman" w:cstheme="minorHAnsi"/>
          <w:noProof/>
          <w:color w:val="000000"/>
          <w:sz w:val="24"/>
          <w:szCs w:val="18"/>
          <w:lang w:val="en-US" w:eastAsia="cs-CZ"/>
        </w:rPr>
        <w:t>and</w:t>
      </w:r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many</w:t>
      </w:r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 allergenic molecules are available for in-vitro specific immunoglobulin E </w:t>
      </w:r>
      <w:proofErr w:type="gramStart"/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testing which</w:t>
      </w:r>
      <w:proofErr w:type="gramEnd"/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can be performed on </w:t>
      </w:r>
      <w:proofErr w:type="spellStart"/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singleplex</w:t>
      </w:r>
      <w:proofErr w:type="spellEnd"/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or multiplex measurement platforms. Multiplex arrays-based testing performed with a small amount of serum sample enables clinicians to determine specific-</w:t>
      </w:r>
      <w:proofErr w:type="spellStart"/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IgE</w:t>
      </w:r>
      <w:proofErr w:type="spellEnd"/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(</w:t>
      </w:r>
      <w:proofErr w:type="spellStart"/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sIgE</w:t>
      </w:r>
      <w:proofErr w:type="spellEnd"/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)</w:t>
      </w:r>
      <w:r w:rsidR="000679FF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antibodies against multiple recombinants or purified natural allergen components.</w:t>
      </w:r>
    </w:p>
    <w:p w:rsidR="000679FF" w:rsidRPr="008815BB" w:rsidRDefault="000679FF" w:rsidP="00067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val="en-US" w:eastAsia="cs-CZ"/>
        </w:rPr>
      </w:pP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</w:t>
      </w:r>
      <w:r w:rsidRPr="008815BB">
        <w:rPr>
          <w:rFonts w:eastAsia="Times New Roman" w:cstheme="minorHAnsi"/>
          <w:i/>
          <w:iCs/>
          <w:color w:val="000000"/>
          <w:sz w:val="24"/>
          <w:szCs w:val="18"/>
          <w:lang w:val="en-US" w:eastAsia="cs-CZ"/>
        </w:rPr>
        <w:t>Objective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: To compare the multiplex 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Im</w:t>
      </w:r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m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unoCAP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ISAC (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Thermo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Fisher Scientific, Sweden) and the multiplex Alex Allergy Explorer (Macro Array Diagnostics GmbH, Austria) platform on 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sIgE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to grass pollen</w:t>
      </w:r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(</w:t>
      </w:r>
      <w:proofErr w:type="spellStart"/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Phl</w:t>
      </w:r>
      <w:proofErr w:type="spellEnd"/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p1, </w:t>
      </w:r>
      <w:proofErr w:type="spellStart"/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Phl</w:t>
      </w:r>
      <w:proofErr w:type="spellEnd"/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p5)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, tree pollen</w:t>
      </w:r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(Bet v1)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, house dust mites</w:t>
      </w:r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(Der p1, Der p2)</w:t>
      </w:r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, cat (</w:t>
      </w:r>
      <w:proofErr w:type="spellStart"/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Fel</w:t>
      </w:r>
      <w:proofErr w:type="spellEnd"/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d1) 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and weed</w:t>
      </w:r>
      <w:r w:rsidR="00322B84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(Art v1)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allergens in allergic patients.</w:t>
      </w:r>
    </w:p>
    <w:p w:rsidR="000679FF" w:rsidRPr="008815BB" w:rsidRDefault="000679FF" w:rsidP="00067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val="en-US" w:eastAsia="cs-CZ"/>
        </w:rPr>
      </w:pPr>
      <w:r w:rsidRPr="008815BB">
        <w:rPr>
          <w:rFonts w:eastAsia="Times New Roman" w:cstheme="minorHAnsi"/>
          <w:i/>
          <w:iCs/>
          <w:color w:val="000000"/>
          <w:sz w:val="24"/>
          <w:szCs w:val="18"/>
          <w:lang w:val="en-US" w:eastAsia="cs-CZ"/>
        </w:rPr>
        <w:t>Method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: Serum samples from 200 patients </w:t>
      </w:r>
      <w:proofErr w:type="gram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were analyzed</w:t>
      </w:r>
      <w:proofErr w:type="gram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for specific 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IgE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 to allergenic molecules included in the ISAC panel and the Alex panel. The results for the multiplex assays </w:t>
      </w:r>
      <w:proofErr w:type="gram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were analyzed</w:t>
      </w:r>
      <w:proofErr w:type="gram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.</w:t>
      </w:r>
    </w:p>
    <w:p w:rsidR="000679FF" w:rsidRPr="008815BB" w:rsidRDefault="000679FF" w:rsidP="00067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val="en-US" w:eastAsia="cs-CZ"/>
        </w:rPr>
      </w:pPr>
      <w:r w:rsidRPr="008815BB">
        <w:rPr>
          <w:rFonts w:eastAsia="Times New Roman" w:cstheme="minorHAnsi"/>
          <w:i/>
          <w:iCs/>
          <w:color w:val="000000"/>
          <w:sz w:val="24"/>
          <w:szCs w:val="18"/>
          <w:lang w:val="en-US" w:eastAsia="cs-CZ"/>
        </w:rPr>
        <w:t>Results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: Comparison of allergenic components by ISAC and Alex </w:t>
      </w:r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arrays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revealed the following correlation coefficients: 0</w:t>
      </w:r>
      <w:proofErr w:type="gram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,94</w:t>
      </w:r>
      <w:proofErr w:type="gram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(Bet v1), 0,94 (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Phl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p1), 0,93 (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Phl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p5), 0,94 (Der p1), 0,92 (Der p2), 0,91 (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Fel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d1), and 0,61 (Art v1).</w:t>
      </w:r>
    </w:p>
    <w:p w:rsidR="000679FF" w:rsidRPr="008815BB" w:rsidRDefault="000679FF" w:rsidP="000679F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val="en-US" w:eastAsia="cs-CZ"/>
        </w:rPr>
      </w:pP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</w:t>
      </w:r>
      <w:r w:rsidRPr="008815BB">
        <w:rPr>
          <w:rFonts w:eastAsia="Times New Roman" w:cstheme="minorHAnsi"/>
          <w:i/>
          <w:iCs/>
          <w:color w:val="000000"/>
          <w:sz w:val="24"/>
          <w:szCs w:val="18"/>
          <w:lang w:val="en-US" w:eastAsia="cs-CZ"/>
        </w:rPr>
        <w:t>Conclusion</w:t>
      </w:r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: A good correlation of presently used methods to detect serum 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sIgE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</w:t>
      </w:r>
      <w:proofErr w:type="gram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was observed</w:t>
      </w:r>
      <w:proofErr w:type="gram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. Multiplex testing of allergen-speciﬁc </w:t>
      </w:r>
      <w:proofErr w:type="spellStart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IgE</w:t>
      </w:r>
      <w:proofErr w:type="spellEnd"/>
      <w:r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> can be the method of choice for a prospective component-resolved diagnosis of type I allergy, and the basis for the design and monitoring</w:t>
      </w:r>
      <w:r w:rsidR="004B4FBD" w:rsidRPr="008815BB">
        <w:rPr>
          <w:rFonts w:eastAsia="Times New Roman" w:cstheme="minorHAnsi"/>
          <w:color w:val="000000"/>
          <w:sz w:val="24"/>
          <w:szCs w:val="18"/>
          <w:lang w:val="en-US" w:eastAsia="cs-CZ"/>
        </w:rPr>
        <w:t xml:space="preserve"> of a patient-tailored specific therapy.</w:t>
      </w:r>
    </w:p>
    <w:p w:rsidR="0070461E" w:rsidRPr="008815BB" w:rsidRDefault="0070461E" w:rsidP="000679FF">
      <w:pPr>
        <w:rPr>
          <w:rFonts w:cstheme="minorHAnsi"/>
          <w:sz w:val="32"/>
          <w:lang w:val="en-US"/>
        </w:rPr>
      </w:pPr>
    </w:p>
    <w:sectPr w:rsidR="0070461E" w:rsidRPr="008815BB" w:rsidSect="00DA6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2MjA3NjE2trA0NzdR0lEKTi0uzszPAykwrAUARFeMTCwAAAA="/>
  </w:docVars>
  <w:rsids>
    <w:rsidRoot w:val="0024440E"/>
    <w:rsid w:val="000679FF"/>
    <w:rsid w:val="00131B06"/>
    <w:rsid w:val="001605B9"/>
    <w:rsid w:val="001609B5"/>
    <w:rsid w:val="00234CFC"/>
    <w:rsid w:val="0024440E"/>
    <w:rsid w:val="002A3AB1"/>
    <w:rsid w:val="002C0F95"/>
    <w:rsid w:val="002F4563"/>
    <w:rsid w:val="00322B84"/>
    <w:rsid w:val="004A49D9"/>
    <w:rsid w:val="004B4FBD"/>
    <w:rsid w:val="004E6E83"/>
    <w:rsid w:val="00533813"/>
    <w:rsid w:val="005649BA"/>
    <w:rsid w:val="006C3F50"/>
    <w:rsid w:val="006C75BE"/>
    <w:rsid w:val="0070461E"/>
    <w:rsid w:val="00713B55"/>
    <w:rsid w:val="00756AFF"/>
    <w:rsid w:val="00826551"/>
    <w:rsid w:val="008815BB"/>
    <w:rsid w:val="00936EEE"/>
    <w:rsid w:val="009A265F"/>
    <w:rsid w:val="009C4656"/>
    <w:rsid w:val="00B97F5C"/>
    <w:rsid w:val="00BF76C2"/>
    <w:rsid w:val="00C07C74"/>
    <w:rsid w:val="00C120BE"/>
    <w:rsid w:val="00C50D78"/>
    <w:rsid w:val="00D00FD3"/>
    <w:rsid w:val="00D95075"/>
    <w:rsid w:val="00DA65F6"/>
    <w:rsid w:val="00DB33D1"/>
    <w:rsid w:val="00DD6C6A"/>
    <w:rsid w:val="00E015C4"/>
    <w:rsid w:val="00E6042C"/>
    <w:rsid w:val="00F51091"/>
    <w:rsid w:val="00F72272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DF27"/>
  <w15:chartTrackingRefBased/>
  <w15:docId w15:val="{592749F6-16CF-4450-84C9-0CA8217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ceitemhidden">
    <w:name w:val="mceitemhidden"/>
    <w:basedOn w:val="Standardnpsmoodstavce"/>
    <w:rsid w:val="000679FF"/>
  </w:style>
  <w:style w:type="character" w:customStyle="1" w:styleId="hiddengrammarerror">
    <w:name w:val="hiddengrammarerror"/>
    <w:basedOn w:val="Standardnpsmoodstavce"/>
    <w:rsid w:val="000679FF"/>
  </w:style>
  <w:style w:type="character" w:customStyle="1" w:styleId="hiddenspellerror">
    <w:name w:val="hiddenspellerror"/>
    <w:basedOn w:val="Standardnpsmoodstavce"/>
    <w:rsid w:val="000679FF"/>
  </w:style>
  <w:style w:type="character" w:customStyle="1" w:styleId="hiddensuggestion">
    <w:name w:val="hiddensuggestion"/>
    <w:basedOn w:val="Standardnpsmoodstavce"/>
    <w:rsid w:val="0006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Panzner Petr</cp:lastModifiedBy>
  <cp:revision>4</cp:revision>
  <dcterms:created xsi:type="dcterms:W3CDTF">2018-01-13T12:40:00Z</dcterms:created>
  <dcterms:modified xsi:type="dcterms:W3CDTF">2018-01-13T12:49:00Z</dcterms:modified>
</cp:coreProperties>
</file>